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6EDD6" w14:textId="77777777" w:rsidR="00123CC4" w:rsidRDefault="00123CC4" w:rsidP="00123CC4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6F06EE36" wp14:editId="6F06EE37">
            <wp:simplePos x="0" y="0"/>
            <wp:positionH relativeFrom="column">
              <wp:posOffset>5572125</wp:posOffset>
            </wp:positionH>
            <wp:positionV relativeFrom="paragraph">
              <wp:posOffset>114300</wp:posOffset>
            </wp:positionV>
            <wp:extent cx="685800" cy="603885"/>
            <wp:effectExtent l="0" t="0" r="0" b="5715"/>
            <wp:wrapNone/>
            <wp:docPr id="2" name="Picture 2" descr="New%20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%20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F06EE38" wp14:editId="6F06EE39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914400" cy="561340"/>
            <wp:effectExtent l="0" t="0" r="0" b="0"/>
            <wp:wrapNone/>
            <wp:docPr id="1" name="Picture 1" descr="New%20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%20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56"/>
          <w:szCs w:val="56"/>
        </w:rPr>
        <w:t>Hingham Playgroup</w:t>
      </w:r>
    </w:p>
    <w:p w14:paraId="6F06EDD7" w14:textId="77777777" w:rsidR="00123CC4" w:rsidRDefault="00123CC4" w:rsidP="00123CC4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bCs/>
        </w:rPr>
      </w:pPr>
    </w:p>
    <w:p w14:paraId="6F06EDD8" w14:textId="77777777" w:rsidR="00123CC4" w:rsidRDefault="00123CC4" w:rsidP="00123CC4">
      <w:pPr>
        <w:pStyle w:val="Heading1"/>
        <w:jc w:val="center"/>
        <w:rPr>
          <w:sz w:val="32"/>
          <w:szCs w:val="32"/>
        </w:rPr>
      </w:pPr>
    </w:p>
    <w:p w14:paraId="6F06EDD9" w14:textId="77777777" w:rsidR="00BE31AF" w:rsidRPr="00123CC4" w:rsidRDefault="00123CC4" w:rsidP="00123CC4">
      <w:pPr>
        <w:tabs>
          <w:tab w:val="left" w:pos="4215"/>
        </w:tabs>
        <w:jc w:val="center"/>
        <w:rPr>
          <w:rFonts w:ascii="Comic Sans MS" w:hAnsi="Comic Sans MS"/>
          <w:sz w:val="28"/>
          <w:u w:val="single"/>
        </w:rPr>
      </w:pPr>
      <w:r w:rsidRPr="00123CC4">
        <w:rPr>
          <w:rFonts w:ascii="Comic Sans MS" w:hAnsi="Comic Sans MS"/>
          <w:sz w:val="28"/>
          <w:u w:val="single"/>
        </w:rPr>
        <w:t>Hingham Playgroup Equality Policy</w:t>
      </w:r>
    </w:p>
    <w:p w14:paraId="6F06EDDA" w14:textId="77777777" w:rsidR="00123CC4" w:rsidRDefault="00123CC4" w:rsidP="00123CC4">
      <w:pPr>
        <w:tabs>
          <w:tab w:val="left" w:pos="4215"/>
        </w:tabs>
        <w:rPr>
          <w:rFonts w:ascii="Comic Sans MS" w:hAnsi="Comic Sans MS"/>
          <w:u w:val="single"/>
        </w:rPr>
      </w:pPr>
    </w:p>
    <w:p w14:paraId="6F06EDDB" w14:textId="77777777" w:rsidR="00253CEB" w:rsidRDefault="00253CEB" w:rsidP="00123CC4">
      <w:pPr>
        <w:tabs>
          <w:tab w:val="left" w:pos="4215"/>
        </w:tabs>
        <w:rPr>
          <w:rFonts w:ascii="Comic Sans MS" w:hAnsi="Comic Sans MS"/>
          <w:u w:val="single"/>
        </w:rPr>
      </w:pPr>
    </w:p>
    <w:p w14:paraId="6F06EDDC" w14:textId="77777777" w:rsidR="005D3DC9" w:rsidRPr="00123CC4" w:rsidRDefault="005D3DC9" w:rsidP="00123CC4">
      <w:pPr>
        <w:tabs>
          <w:tab w:val="left" w:pos="4215"/>
        </w:tabs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Statement of Intent</w:t>
      </w:r>
    </w:p>
    <w:p w14:paraId="6F06EDDD" w14:textId="77777777" w:rsidR="00FF5AA0" w:rsidRDefault="00275F92" w:rsidP="00123CC4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>Hingham Pl</w:t>
      </w:r>
      <w:r w:rsidR="00927F8F">
        <w:rPr>
          <w:rFonts w:ascii="Comic Sans MS" w:hAnsi="Comic Sans MS"/>
        </w:rPr>
        <w:t>aygroup aims to ensure that every individual is treated equally, whether they are a child or adult. We are committed to providing equality</w:t>
      </w:r>
      <w:r w:rsidR="009B5C98">
        <w:rPr>
          <w:rFonts w:ascii="Comic Sans MS" w:hAnsi="Comic Sans MS"/>
        </w:rPr>
        <w:t xml:space="preserve"> of</w:t>
      </w:r>
      <w:r w:rsidR="00927F8F">
        <w:rPr>
          <w:rFonts w:ascii="Comic Sans MS" w:hAnsi="Comic Sans MS"/>
        </w:rPr>
        <w:t xml:space="preserve"> opportunity and anti-discriminatory practice for all children and adults</w:t>
      </w:r>
      <w:r>
        <w:rPr>
          <w:rFonts w:ascii="Comic Sans MS" w:hAnsi="Comic Sans MS"/>
        </w:rPr>
        <w:t>,</w:t>
      </w:r>
      <w:r w:rsidR="00927F8F">
        <w:rPr>
          <w:rFonts w:ascii="Comic Sans MS" w:hAnsi="Comic Sans MS"/>
        </w:rPr>
        <w:t xml:space="preserve"> according t</w:t>
      </w:r>
      <w:r>
        <w:rPr>
          <w:rFonts w:ascii="Comic Sans MS" w:hAnsi="Comic Sans MS"/>
        </w:rPr>
        <w:t>o their individual needs. In  accordance with</w:t>
      </w:r>
      <w:r w:rsidR="00927F8F">
        <w:rPr>
          <w:rFonts w:ascii="Comic Sans MS" w:hAnsi="Comic Sans MS"/>
        </w:rPr>
        <w:t xml:space="preserve"> The Equality Act 2010, discrimination on the grounds of gender, race, religion or belief, </w:t>
      </w:r>
      <w:r>
        <w:rPr>
          <w:rFonts w:ascii="Comic Sans MS" w:hAnsi="Comic Sans MS"/>
        </w:rPr>
        <w:t xml:space="preserve">age, </w:t>
      </w:r>
      <w:r w:rsidR="00927F8F">
        <w:rPr>
          <w:rFonts w:ascii="Comic Sans MS" w:hAnsi="Comic Sans MS"/>
        </w:rPr>
        <w:t xml:space="preserve">marriage or civil partnership, disability – physical or mental, </w:t>
      </w:r>
      <w:r w:rsidR="00180C84">
        <w:rPr>
          <w:rFonts w:ascii="Comic Sans MS" w:hAnsi="Comic Sans MS"/>
        </w:rPr>
        <w:t xml:space="preserve">special educational needs, </w:t>
      </w:r>
      <w:r w:rsidR="00927F8F">
        <w:rPr>
          <w:rFonts w:ascii="Comic Sans MS" w:hAnsi="Comic Sans MS"/>
        </w:rPr>
        <w:t>sexual orientation, gender reassignment, pregnancy or maternity, ethnic or national origin has no place within our setting.</w:t>
      </w:r>
    </w:p>
    <w:p w14:paraId="6F06EDDE" w14:textId="77777777" w:rsidR="005D3DC9" w:rsidRDefault="005D3DC9" w:rsidP="00123CC4">
      <w:pPr>
        <w:tabs>
          <w:tab w:val="left" w:pos="4215"/>
        </w:tabs>
        <w:rPr>
          <w:rFonts w:ascii="Comic Sans MS" w:hAnsi="Comic Sans MS"/>
        </w:rPr>
      </w:pPr>
    </w:p>
    <w:p w14:paraId="6F06EDDF" w14:textId="77777777" w:rsidR="00253CEB" w:rsidRDefault="00253CEB" w:rsidP="00123CC4">
      <w:pPr>
        <w:tabs>
          <w:tab w:val="left" w:pos="4215"/>
        </w:tabs>
        <w:rPr>
          <w:rFonts w:ascii="Comic Sans MS" w:hAnsi="Comic Sans MS"/>
        </w:rPr>
      </w:pPr>
    </w:p>
    <w:p w14:paraId="6F06EDE0" w14:textId="77777777" w:rsidR="005D3DC9" w:rsidRDefault="005D3DC9" w:rsidP="005D3DC9">
      <w:pPr>
        <w:tabs>
          <w:tab w:val="left" w:pos="4215"/>
        </w:tabs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Legal framework</w:t>
      </w:r>
    </w:p>
    <w:p w14:paraId="6F06EDE1" w14:textId="77777777" w:rsidR="005D3DC9" w:rsidRDefault="005D3DC9" w:rsidP="005D3DC9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>The Equality Act 2010 lays out t</w:t>
      </w:r>
      <w:r w:rsidR="00275F92">
        <w:rPr>
          <w:rFonts w:ascii="Comic Sans MS" w:hAnsi="Comic Sans MS"/>
        </w:rPr>
        <w:t>wo specific</w:t>
      </w:r>
      <w:r>
        <w:rPr>
          <w:rFonts w:ascii="Comic Sans MS" w:hAnsi="Comic Sans MS"/>
        </w:rPr>
        <w:t xml:space="preserve"> duties and t</w:t>
      </w:r>
      <w:r w:rsidR="00275F92">
        <w:rPr>
          <w:rFonts w:ascii="Comic Sans MS" w:hAnsi="Comic Sans MS"/>
        </w:rPr>
        <w:t>hree general</w:t>
      </w:r>
      <w:r>
        <w:rPr>
          <w:rFonts w:ascii="Comic Sans MS" w:hAnsi="Comic Sans MS"/>
        </w:rPr>
        <w:t xml:space="preserve"> duties which we </w:t>
      </w:r>
      <w:r w:rsidR="00275F92">
        <w:rPr>
          <w:rFonts w:ascii="Comic Sans MS" w:hAnsi="Comic Sans MS"/>
        </w:rPr>
        <w:t>must comply with. I</w:t>
      </w:r>
      <w:r>
        <w:rPr>
          <w:rFonts w:ascii="Comic Sans MS" w:hAnsi="Comic Sans MS"/>
        </w:rPr>
        <w:t>n our setting</w:t>
      </w:r>
      <w:r w:rsidR="00275F92">
        <w:rPr>
          <w:rFonts w:ascii="Comic Sans MS" w:hAnsi="Comic Sans MS"/>
        </w:rPr>
        <w:t>, we have met the</w:t>
      </w:r>
      <w:r>
        <w:rPr>
          <w:rFonts w:ascii="Comic Sans MS" w:hAnsi="Comic Sans MS"/>
        </w:rPr>
        <w:t xml:space="preserve"> two specific duties by:</w:t>
      </w:r>
    </w:p>
    <w:p w14:paraId="6F06EDE2" w14:textId="77777777" w:rsidR="005D3DC9" w:rsidRDefault="00275F92" w:rsidP="005D3DC9">
      <w:pPr>
        <w:pStyle w:val="ListParagraph"/>
        <w:numPr>
          <w:ilvl w:val="0"/>
          <w:numId w:val="2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>creating</w:t>
      </w:r>
      <w:r w:rsidR="005D3DC9">
        <w:rPr>
          <w:rFonts w:ascii="Comic Sans MS" w:hAnsi="Comic Sans MS"/>
        </w:rPr>
        <w:t xml:space="preserve"> a Hingham Playgroup Equality Statement which is displayed within our lobby and is accessible on our website.</w:t>
      </w:r>
    </w:p>
    <w:p w14:paraId="6F06EDE3" w14:textId="77777777" w:rsidR="005D3DC9" w:rsidRDefault="00275F92" w:rsidP="005D3DC9">
      <w:pPr>
        <w:pStyle w:val="ListParagraph"/>
        <w:numPr>
          <w:ilvl w:val="0"/>
          <w:numId w:val="2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>creating</w:t>
      </w:r>
      <w:r w:rsidR="005D3DC9">
        <w:rPr>
          <w:rFonts w:ascii="Comic Sans MS" w:hAnsi="Comic Sans MS"/>
        </w:rPr>
        <w:t xml:space="preserve"> an action plan which contains the targets we have set ourselves around promoting equality and diversity.</w:t>
      </w:r>
    </w:p>
    <w:p w14:paraId="6F06EDE4" w14:textId="77777777" w:rsidR="00057D5E" w:rsidRDefault="005D3DC9" w:rsidP="005D3DC9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>The three general duties are part of our everyday act</w:t>
      </w:r>
      <w:r w:rsidR="00275F92">
        <w:rPr>
          <w:rFonts w:ascii="Comic Sans MS" w:hAnsi="Comic Sans MS"/>
        </w:rPr>
        <w:t>ivity and something which we always consider within our practice:</w:t>
      </w:r>
    </w:p>
    <w:p w14:paraId="6F06EDE5" w14:textId="77777777" w:rsidR="00057D5E" w:rsidRPr="00057D5E" w:rsidRDefault="00275F92" w:rsidP="00057D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eliminating</w:t>
      </w:r>
      <w:r w:rsidR="00057D5E" w:rsidRPr="00057D5E">
        <w:rPr>
          <w:rFonts w:ascii="Comic Sans MS" w:hAnsi="Comic Sans MS"/>
        </w:rPr>
        <w:t xml:space="preserve"> unlawful discrimination, harassment and victimisation and other conduct prohibited by the Act.</w:t>
      </w:r>
    </w:p>
    <w:p w14:paraId="6F06EDE6" w14:textId="77777777" w:rsidR="00057D5E" w:rsidRPr="00057D5E" w:rsidRDefault="00275F92" w:rsidP="00057D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advancing</w:t>
      </w:r>
      <w:r w:rsidR="00057D5E" w:rsidRPr="00057D5E">
        <w:rPr>
          <w:rFonts w:ascii="Comic Sans MS" w:hAnsi="Comic Sans MS"/>
        </w:rPr>
        <w:t xml:space="preserve"> equality of opportunity between people who share a protected characteristic and those who do not.</w:t>
      </w:r>
    </w:p>
    <w:p w14:paraId="6F06EDE7" w14:textId="77777777" w:rsidR="00FF5AA0" w:rsidRDefault="00275F92" w:rsidP="00057D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fostering</w:t>
      </w:r>
      <w:r w:rsidR="00057D5E" w:rsidRPr="00057D5E">
        <w:rPr>
          <w:rFonts w:ascii="Comic Sans MS" w:hAnsi="Comic Sans MS"/>
        </w:rPr>
        <w:t xml:space="preserve"> good relations between people who share a protected characteristic and those who do not.</w:t>
      </w:r>
    </w:p>
    <w:p w14:paraId="6F06EDE8" w14:textId="77777777" w:rsidR="00057D5E" w:rsidRDefault="00057D5E" w:rsidP="00057D5E">
      <w:pPr>
        <w:pStyle w:val="ListParagraph"/>
        <w:rPr>
          <w:rFonts w:ascii="Comic Sans MS" w:hAnsi="Comic Sans MS"/>
        </w:rPr>
      </w:pPr>
    </w:p>
    <w:p w14:paraId="6F06EDE9" w14:textId="77777777" w:rsidR="00253CEB" w:rsidRPr="00057D5E" w:rsidRDefault="00253CEB" w:rsidP="00057D5E">
      <w:pPr>
        <w:pStyle w:val="ListParagraph"/>
        <w:rPr>
          <w:rFonts w:ascii="Comic Sans MS" w:hAnsi="Comic Sans MS"/>
        </w:rPr>
      </w:pPr>
    </w:p>
    <w:p w14:paraId="6F06EDEA" w14:textId="77777777" w:rsidR="00123CC4" w:rsidRDefault="00123CC4" w:rsidP="00123CC4">
      <w:pPr>
        <w:tabs>
          <w:tab w:val="left" w:pos="4215"/>
        </w:tabs>
        <w:rPr>
          <w:rFonts w:ascii="Comic Sans MS" w:hAnsi="Comic Sans MS"/>
        </w:rPr>
      </w:pPr>
      <w:r w:rsidRPr="00123CC4">
        <w:rPr>
          <w:rFonts w:ascii="Comic Sans MS" w:hAnsi="Comic Sans MS"/>
          <w:u w:val="single"/>
        </w:rPr>
        <w:t>Aims</w:t>
      </w:r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>– within our setting we aim</w:t>
      </w:r>
      <w:r w:rsidR="00275F92">
        <w:rPr>
          <w:rFonts w:ascii="Comic Sans MS" w:hAnsi="Comic Sans MS"/>
        </w:rPr>
        <w:t xml:space="preserve"> to</w:t>
      </w:r>
      <w:r>
        <w:rPr>
          <w:rFonts w:ascii="Comic Sans MS" w:hAnsi="Comic Sans MS"/>
        </w:rPr>
        <w:t>:</w:t>
      </w:r>
    </w:p>
    <w:p w14:paraId="6F06EDEB" w14:textId="77777777" w:rsidR="00455C98" w:rsidRPr="00455C98" w:rsidRDefault="00455C98" w:rsidP="00455C98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enable all children to access our setting and the activities we offer.</w:t>
      </w:r>
    </w:p>
    <w:p w14:paraId="6F06EDEC" w14:textId="77777777" w:rsidR="00123CC4" w:rsidRDefault="00123CC4" w:rsidP="00123CC4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55C98">
        <w:rPr>
          <w:rFonts w:ascii="Comic Sans MS" w:hAnsi="Comic Sans MS"/>
        </w:rPr>
        <w:t>look for and stop any</w:t>
      </w:r>
      <w:r>
        <w:rPr>
          <w:rFonts w:ascii="Comic Sans MS" w:hAnsi="Comic Sans MS"/>
        </w:rPr>
        <w:t xml:space="preserve"> form of discrimination from adults and children.</w:t>
      </w:r>
    </w:p>
    <w:p w14:paraId="6F06EDED" w14:textId="77777777" w:rsidR="00123CC4" w:rsidRDefault="00123CC4" w:rsidP="00123CC4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look for and stop a</w:t>
      </w:r>
      <w:r w:rsidR="00455C98">
        <w:rPr>
          <w:rFonts w:ascii="Comic Sans MS" w:hAnsi="Comic Sans MS"/>
        </w:rPr>
        <w:t>n</w:t>
      </w:r>
      <w:r w:rsidR="005D3DC9">
        <w:rPr>
          <w:rFonts w:ascii="Comic Sans MS" w:hAnsi="Comic Sans MS"/>
        </w:rPr>
        <w:t>y</w:t>
      </w:r>
      <w:r>
        <w:rPr>
          <w:rFonts w:ascii="Comic Sans MS" w:hAnsi="Comic Sans MS"/>
        </w:rPr>
        <w:t xml:space="preserve"> </w:t>
      </w:r>
      <w:r w:rsidR="00455C98">
        <w:rPr>
          <w:rFonts w:ascii="Comic Sans MS" w:hAnsi="Comic Sans MS"/>
        </w:rPr>
        <w:t>harassment</w:t>
      </w:r>
      <w:r>
        <w:rPr>
          <w:rFonts w:ascii="Comic Sans MS" w:hAnsi="Comic Sans MS"/>
        </w:rPr>
        <w:t xml:space="preserve"> or bullying.</w:t>
      </w:r>
    </w:p>
    <w:p w14:paraId="6F06EDEE" w14:textId="77777777" w:rsidR="00123CC4" w:rsidRDefault="00123CC4" w:rsidP="00123CC4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look for and break down any barriers to participation.</w:t>
      </w:r>
    </w:p>
    <w:p w14:paraId="6F06EDEF" w14:textId="77777777" w:rsidR="00123CC4" w:rsidRDefault="00123CC4" w:rsidP="00123CC4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find ways to</w:t>
      </w:r>
      <w:r w:rsidR="00455C98">
        <w:rPr>
          <w:rFonts w:ascii="Comic Sans MS" w:hAnsi="Comic Sans MS"/>
        </w:rPr>
        <w:t xml:space="preserve"> overcome disadvantage experie</w:t>
      </w:r>
      <w:r>
        <w:rPr>
          <w:rFonts w:ascii="Comic Sans MS" w:hAnsi="Comic Sans MS"/>
        </w:rPr>
        <w:t>nced by certain groups.</w:t>
      </w:r>
    </w:p>
    <w:p w14:paraId="6F06EDF0" w14:textId="77777777" w:rsidR="00123CC4" w:rsidRDefault="00123CC4" w:rsidP="00123CC4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look for and meet specific needs of certain gro</w:t>
      </w:r>
      <w:r w:rsidR="00455C98">
        <w:rPr>
          <w:rFonts w:ascii="Comic Sans MS" w:hAnsi="Comic Sans MS"/>
        </w:rPr>
        <w:t>u</w:t>
      </w:r>
      <w:r>
        <w:rPr>
          <w:rFonts w:ascii="Comic Sans MS" w:hAnsi="Comic Sans MS"/>
        </w:rPr>
        <w:t>ps.</w:t>
      </w:r>
    </w:p>
    <w:p w14:paraId="6F06EDF1" w14:textId="77777777" w:rsidR="00455C98" w:rsidRPr="00253CEB" w:rsidRDefault="00123CC4" w:rsidP="00455C98">
      <w:pPr>
        <w:pStyle w:val="ListParagraph"/>
        <w:numPr>
          <w:ilvl w:val="0"/>
          <w:numId w:val="1"/>
        </w:num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foster good relations between different groups.</w:t>
      </w:r>
    </w:p>
    <w:p w14:paraId="6F06EDF2" w14:textId="77777777" w:rsidR="00057D5E" w:rsidRDefault="00057D5E" w:rsidP="00455C98">
      <w:pPr>
        <w:tabs>
          <w:tab w:val="left" w:pos="4215"/>
        </w:tabs>
        <w:rPr>
          <w:rFonts w:ascii="Comic Sans MS" w:hAnsi="Comic Sans MS"/>
        </w:rPr>
      </w:pPr>
    </w:p>
    <w:p w14:paraId="6F06EDF3" w14:textId="77777777" w:rsidR="005D3DC9" w:rsidRDefault="005D3DC9" w:rsidP="00455C98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How we will achieve our aims</w:t>
      </w:r>
      <w:r>
        <w:rPr>
          <w:rFonts w:ascii="Comic Sans MS" w:hAnsi="Comic Sans MS"/>
        </w:rPr>
        <w:t xml:space="preserve"> – we are committed to achieving o</w:t>
      </w:r>
      <w:r w:rsidR="00275F92">
        <w:rPr>
          <w:rFonts w:ascii="Comic Sans MS" w:hAnsi="Comic Sans MS"/>
        </w:rPr>
        <w:t>ur aims in the following ways:</w:t>
      </w:r>
    </w:p>
    <w:p w14:paraId="6F06EDF4" w14:textId="77777777" w:rsidR="0077090C" w:rsidRDefault="005D3DC9" w:rsidP="00455C98">
      <w:pPr>
        <w:tabs>
          <w:tab w:val="left" w:pos="4215"/>
        </w:tabs>
        <w:rPr>
          <w:rFonts w:ascii="Comic Sans MS" w:hAnsi="Comic Sans MS"/>
        </w:rPr>
      </w:pPr>
      <w:r w:rsidRPr="0080796E">
        <w:rPr>
          <w:rFonts w:ascii="Comic Sans MS" w:hAnsi="Comic Sans MS"/>
          <w:b/>
        </w:rPr>
        <w:t>Recruitment</w:t>
      </w:r>
      <w:r>
        <w:rPr>
          <w:rFonts w:ascii="Comic Sans MS" w:hAnsi="Comic Sans MS"/>
        </w:rPr>
        <w:t xml:space="preserve"> – when recruiting new staff to the playgroup, all procedu</w:t>
      </w:r>
      <w:r w:rsidR="00275F92">
        <w:rPr>
          <w:rFonts w:ascii="Comic Sans MS" w:hAnsi="Comic Sans MS"/>
        </w:rPr>
        <w:t>res take regards of this policy’</w:t>
      </w:r>
      <w:r>
        <w:rPr>
          <w:rFonts w:ascii="Comic Sans MS" w:hAnsi="Comic Sans MS"/>
        </w:rPr>
        <w:t xml:space="preserve">s statement of intent. </w:t>
      </w:r>
    </w:p>
    <w:p w14:paraId="6F06EDF5" w14:textId="77777777" w:rsidR="0077090C" w:rsidRDefault="0080796E" w:rsidP="0077090C">
      <w:pPr>
        <w:pStyle w:val="ListParagraph"/>
        <w:numPr>
          <w:ilvl w:val="0"/>
          <w:numId w:val="11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>Advertisements</w:t>
      </w:r>
      <w:r w:rsidR="005D3DC9" w:rsidRPr="0077090C">
        <w:rPr>
          <w:rFonts w:ascii="Comic Sans MS" w:hAnsi="Comic Sans MS"/>
        </w:rPr>
        <w:t xml:space="preserve"> and </w:t>
      </w:r>
      <w:r w:rsidRPr="0077090C">
        <w:rPr>
          <w:rFonts w:ascii="Comic Sans MS" w:hAnsi="Comic Sans MS"/>
        </w:rPr>
        <w:t>information packs will clearly state the need for</w:t>
      </w:r>
      <w:r w:rsidR="00842EAC">
        <w:rPr>
          <w:rFonts w:ascii="Comic Sans MS" w:hAnsi="Comic Sans MS"/>
        </w:rPr>
        <w:t xml:space="preserve"> DBS</w:t>
      </w:r>
      <w:r w:rsidRPr="0077090C">
        <w:rPr>
          <w:rFonts w:ascii="Comic Sans MS" w:hAnsi="Comic Sans MS"/>
        </w:rPr>
        <w:t xml:space="preserve"> check and references to be completed before a job offer can be made. </w:t>
      </w:r>
    </w:p>
    <w:p w14:paraId="6F06EDF6" w14:textId="77777777" w:rsidR="0077090C" w:rsidRDefault="005D3DC9" w:rsidP="0077090C">
      <w:pPr>
        <w:pStyle w:val="ListParagraph"/>
        <w:numPr>
          <w:ilvl w:val="0"/>
          <w:numId w:val="11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 xml:space="preserve">We ensure that we do not question or </w:t>
      </w:r>
      <w:r w:rsidR="00057D5E">
        <w:rPr>
          <w:rFonts w:ascii="Comic Sans MS" w:hAnsi="Comic Sans MS"/>
        </w:rPr>
        <w:t xml:space="preserve">ask </w:t>
      </w:r>
      <w:r w:rsidRPr="0077090C">
        <w:rPr>
          <w:rFonts w:ascii="Comic Sans MS" w:hAnsi="Comic Sans MS"/>
        </w:rPr>
        <w:t>for information which could potential</w:t>
      </w:r>
      <w:r w:rsidR="00275F92">
        <w:rPr>
          <w:rFonts w:ascii="Comic Sans MS" w:hAnsi="Comic Sans MS"/>
        </w:rPr>
        <w:t>ly</w:t>
      </w:r>
      <w:r w:rsidRPr="0077090C">
        <w:rPr>
          <w:rFonts w:ascii="Comic Sans MS" w:hAnsi="Comic Sans MS"/>
        </w:rPr>
        <w:t xml:space="preserve"> </w:t>
      </w:r>
      <w:r w:rsidR="00275F92">
        <w:rPr>
          <w:rFonts w:ascii="Comic Sans MS" w:hAnsi="Comic Sans MS"/>
        </w:rPr>
        <w:t>discriminate</w:t>
      </w:r>
      <w:r w:rsidRPr="0077090C">
        <w:rPr>
          <w:rFonts w:ascii="Comic Sans MS" w:hAnsi="Comic Sans MS"/>
        </w:rPr>
        <w:t xml:space="preserve"> on the grounds specified in the statement of intent. </w:t>
      </w:r>
    </w:p>
    <w:p w14:paraId="6F06EDF7" w14:textId="77777777" w:rsidR="0077090C" w:rsidRDefault="005D3DC9" w:rsidP="0077090C">
      <w:pPr>
        <w:pStyle w:val="ListParagraph"/>
        <w:numPr>
          <w:ilvl w:val="0"/>
          <w:numId w:val="11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 xml:space="preserve">All candidates will be asked the same questions and any panel member’s personal knowledge of the candidate will not be offered or included in the selection process. </w:t>
      </w:r>
    </w:p>
    <w:p w14:paraId="6F06EDF8" w14:textId="77777777" w:rsidR="00455C98" w:rsidRDefault="0080796E" w:rsidP="0077090C">
      <w:pPr>
        <w:pStyle w:val="ListParagraph"/>
        <w:numPr>
          <w:ilvl w:val="0"/>
          <w:numId w:val="11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>Candidates</w:t>
      </w:r>
      <w:r w:rsidR="005D3DC9" w:rsidRPr="0077090C">
        <w:rPr>
          <w:rFonts w:ascii="Comic Sans MS" w:hAnsi="Comic Sans MS"/>
        </w:rPr>
        <w:t xml:space="preserve"> will be given the opportunity to receive feedback on the reasons why they were not successful.</w:t>
      </w:r>
    </w:p>
    <w:p w14:paraId="6F06EDF9" w14:textId="77777777" w:rsidR="00253CEB" w:rsidRPr="00253CEB" w:rsidRDefault="00253CEB" w:rsidP="00253CEB">
      <w:pPr>
        <w:tabs>
          <w:tab w:val="left" w:pos="4215"/>
        </w:tabs>
        <w:rPr>
          <w:rFonts w:ascii="Comic Sans MS" w:hAnsi="Comic Sans MS"/>
        </w:rPr>
      </w:pPr>
    </w:p>
    <w:p w14:paraId="6F06EDFA" w14:textId="77777777" w:rsidR="0077090C" w:rsidRDefault="0080796E" w:rsidP="00455C98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Staff </w:t>
      </w:r>
      <w:r>
        <w:rPr>
          <w:rFonts w:ascii="Comic Sans MS" w:hAnsi="Comic Sans MS"/>
        </w:rPr>
        <w:t xml:space="preserve">– are required to work within the guidance of this policy within every aspect of their role. </w:t>
      </w:r>
    </w:p>
    <w:p w14:paraId="6F06EDFB" w14:textId="77777777" w:rsidR="0077090C" w:rsidRDefault="0080796E" w:rsidP="0077090C">
      <w:pPr>
        <w:pStyle w:val="ListParagraph"/>
        <w:numPr>
          <w:ilvl w:val="0"/>
          <w:numId w:val="12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 xml:space="preserve">They are advised that any anti-discriminatory comments or practice will not be tolerated. </w:t>
      </w:r>
      <w:r w:rsidR="00275F92">
        <w:rPr>
          <w:rFonts w:ascii="Comic Sans MS" w:hAnsi="Comic Sans MS"/>
        </w:rPr>
        <w:t xml:space="preserve"> Significant or persistent incidents will lead to disciplinary action being taken.</w:t>
      </w:r>
    </w:p>
    <w:p w14:paraId="6F06EDFC" w14:textId="77777777" w:rsidR="0077090C" w:rsidRDefault="0080796E" w:rsidP="0077090C">
      <w:pPr>
        <w:pStyle w:val="ListParagraph"/>
        <w:numPr>
          <w:ilvl w:val="0"/>
          <w:numId w:val="12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 xml:space="preserve">Within their roles, staff are required to monitor children’s play and challenge any anti-discriminatory practice and model ‘acceptable’ behaviour. </w:t>
      </w:r>
    </w:p>
    <w:p w14:paraId="6F06EDFD" w14:textId="77777777" w:rsidR="0080796E" w:rsidRDefault="0080796E" w:rsidP="0077090C">
      <w:pPr>
        <w:pStyle w:val="ListParagraph"/>
        <w:numPr>
          <w:ilvl w:val="0"/>
          <w:numId w:val="12"/>
        </w:numPr>
        <w:tabs>
          <w:tab w:val="left" w:pos="4215"/>
        </w:tabs>
        <w:rPr>
          <w:rFonts w:ascii="Comic Sans MS" w:hAnsi="Comic Sans MS"/>
        </w:rPr>
      </w:pPr>
      <w:r w:rsidRPr="0077090C">
        <w:rPr>
          <w:rFonts w:ascii="Comic Sans MS" w:hAnsi="Comic Sans MS"/>
        </w:rPr>
        <w:t>They are required to be part of a rolling review of policies and highlight any part of the policies</w:t>
      </w:r>
      <w:r w:rsidR="00275F92">
        <w:rPr>
          <w:rFonts w:ascii="Comic Sans MS" w:hAnsi="Comic Sans MS"/>
        </w:rPr>
        <w:t xml:space="preserve"> which do not uphold this policy’s</w:t>
      </w:r>
      <w:r w:rsidRPr="0077090C">
        <w:rPr>
          <w:rFonts w:ascii="Comic Sans MS" w:hAnsi="Comic Sans MS"/>
        </w:rPr>
        <w:t xml:space="preserve"> statement of intent. </w:t>
      </w:r>
    </w:p>
    <w:p w14:paraId="6F06EDFE" w14:textId="77777777" w:rsidR="00253CEB" w:rsidRPr="00253CEB" w:rsidRDefault="00253CEB" w:rsidP="00253CEB">
      <w:pPr>
        <w:tabs>
          <w:tab w:val="left" w:pos="4215"/>
        </w:tabs>
        <w:rPr>
          <w:rFonts w:ascii="Comic Sans MS" w:hAnsi="Comic Sans MS"/>
        </w:rPr>
      </w:pPr>
    </w:p>
    <w:p w14:paraId="6F06EDFF" w14:textId="77777777" w:rsidR="0080796E" w:rsidRDefault="0080796E" w:rsidP="00455C98">
      <w:pPr>
        <w:tabs>
          <w:tab w:val="left" w:pos="4215"/>
        </w:tabs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Training </w:t>
      </w:r>
      <w:r w:rsidR="00275F92">
        <w:rPr>
          <w:rFonts w:ascii="Comic Sans MS" w:hAnsi="Comic Sans MS"/>
        </w:rPr>
        <w:t>– Hingham P</w:t>
      </w:r>
      <w:r>
        <w:rPr>
          <w:rFonts w:ascii="Comic Sans MS" w:hAnsi="Comic Sans MS"/>
        </w:rPr>
        <w:t>laygroup recognises that training is an essential part of staff development. We will cascade all training throughout the staff team and encourage staff members to attend a variety of training and use their training to reflect upon our settings practice and where this can be improved for all our users.</w:t>
      </w:r>
    </w:p>
    <w:p w14:paraId="6F06EE00" w14:textId="77777777" w:rsidR="00253CEB" w:rsidRPr="0080796E" w:rsidRDefault="00253CEB" w:rsidP="00455C98">
      <w:pPr>
        <w:tabs>
          <w:tab w:val="left" w:pos="4215"/>
        </w:tabs>
        <w:rPr>
          <w:rFonts w:ascii="Comic Sans MS" w:hAnsi="Comic Sans MS"/>
        </w:rPr>
      </w:pPr>
    </w:p>
    <w:p w14:paraId="6F06EE01" w14:textId="77777777" w:rsidR="00CD38C8" w:rsidRDefault="0080796E" w:rsidP="00CD38C8">
      <w:pPr>
        <w:tabs>
          <w:tab w:val="left" w:pos="4215"/>
        </w:tabs>
        <w:rPr>
          <w:rFonts w:ascii="Comic Sans MS" w:hAnsi="Comic Sans MS"/>
        </w:rPr>
      </w:pPr>
      <w:r w:rsidRPr="00CD38C8">
        <w:rPr>
          <w:rFonts w:ascii="Comic Sans MS" w:hAnsi="Comic Sans MS"/>
          <w:b/>
        </w:rPr>
        <w:t>Environment</w:t>
      </w:r>
      <w:r w:rsidRPr="00CD38C8">
        <w:rPr>
          <w:rFonts w:ascii="Comic Sans MS" w:hAnsi="Comic Sans MS"/>
        </w:rPr>
        <w:t xml:space="preserve"> – we will strive to promote equal access to services</w:t>
      </w:r>
      <w:r w:rsidR="00480397" w:rsidRPr="00CD38C8">
        <w:rPr>
          <w:rFonts w:ascii="Comic Sans MS" w:hAnsi="Comic Sans MS"/>
        </w:rPr>
        <w:t xml:space="preserve"> by taking practical steps (wherever possible and reasonable), such as ensuring access to people with additional needs and by producing materials in relevant languages and media for families and children</w:t>
      </w:r>
      <w:r w:rsidR="00CD38C8">
        <w:rPr>
          <w:rFonts w:ascii="Comic Sans MS" w:hAnsi="Comic Sans MS"/>
        </w:rPr>
        <w:t>.</w:t>
      </w:r>
    </w:p>
    <w:p w14:paraId="6F06EE02" w14:textId="77777777" w:rsidR="00057D5E" w:rsidRDefault="00480397" w:rsidP="00CD38C8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Comic Sans MS" w:hAnsi="Comic Sans MS"/>
        </w:rPr>
      </w:pPr>
      <w:r w:rsidRPr="00CD38C8">
        <w:rPr>
          <w:rFonts w:ascii="Comic Sans MS" w:hAnsi="Comic Sans MS"/>
        </w:rPr>
        <w:t xml:space="preserve">By providing positive non-stereotypical information, </w:t>
      </w:r>
      <w:proofErr w:type="gramStart"/>
      <w:r w:rsidRPr="00CD38C8">
        <w:rPr>
          <w:rFonts w:ascii="Comic Sans MS" w:hAnsi="Comic Sans MS"/>
        </w:rPr>
        <w:t>images</w:t>
      </w:r>
      <w:proofErr w:type="gramEnd"/>
      <w:r w:rsidRPr="00CD38C8">
        <w:rPr>
          <w:rFonts w:ascii="Comic Sans MS" w:hAnsi="Comic Sans MS"/>
        </w:rPr>
        <w:t xml:space="preserve"> and toys. </w:t>
      </w:r>
    </w:p>
    <w:p w14:paraId="6F06EE03" w14:textId="77777777" w:rsidR="00CD38C8" w:rsidRDefault="00480397" w:rsidP="00CD38C8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Comic Sans MS" w:hAnsi="Comic Sans MS"/>
        </w:rPr>
      </w:pPr>
      <w:r w:rsidRPr="00CD38C8">
        <w:rPr>
          <w:rFonts w:ascii="Comic Sans MS" w:hAnsi="Comic Sans MS"/>
        </w:rPr>
        <w:t xml:space="preserve">Providing a childcare place, wherever possible, for children who may have learning difficulties and/or disabilities or </w:t>
      </w:r>
      <w:r w:rsidR="00275F92">
        <w:rPr>
          <w:rFonts w:ascii="Comic Sans MS" w:hAnsi="Comic Sans MS"/>
        </w:rPr>
        <w:t xml:space="preserve">who are </w:t>
      </w:r>
      <w:r w:rsidRPr="00CD38C8">
        <w:rPr>
          <w:rFonts w:ascii="Comic Sans MS" w:hAnsi="Comic Sans MS"/>
        </w:rPr>
        <w:t xml:space="preserve">deemed disadvantaged according to their individual circumstances and the </w:t>
      </w:r>
      <w:r w:rsidR="00275F92">
        <w:rPr>
          <w:rFonts w:ascii="Comic Sans MS" w:hAnsi="Comic Sans MS"/>
        </w:rPr>
        <w:t>P</w:t>
      </w:r>
      <w:r w:rsidRPr="00CD38C8">
        <w:rPr>
          <w:rFonts w:ascii="Comic Sans MS" w:hAnsi="Comic Sans MS"/>
        </w:rPr>
        <w:t>laygroup</w:t>
      </w:r>
      <w:r w:rsidR="00275F92">
        <w:rPr>
          <w:rFonts w:ascii="Comic Sans MS" w:hAnsi="Comic Sans MS"/>
        </w:rPr>
        <w:t>’</w:t>
      </w:r>
      <w:r w:rsidRPr="00CD38C8">
        <w:rPr>
          <w:rFonts w:ascii="Comic Sans MS" w:hAnsi="Comic Sans MS"/>
        </w:rPr>
        <w:t>s ability to provide the necessary standard of care.</w:t>
      </w:r>
    </w:p>
    <w:p w14:paraId="6F06EE04" w14:textId="77777777" w:rsidR="0080796E" w:rsidRDefault="00CD38C8" w:rsidP="00CD38C8">
      <w:pPr>
        <w:pStyle w:val="ListParagraph"/>
        <w:numPr>
          <w:ilvl w:val="0"/>
          <w:numId w:val="9"/>
        </w:numPr>
        <w:tabs>
          <w:tab w:val="left" w:pos="4215"/>
        </w:tabs>
        <w:rPr>
          <w:rFonts w:ascii="Comic Sans MS" w:hAnsi="Comic Sans MS"/>
        </w:rPr>
      </w:pPr>
      <w:r w:rsidRPr="00CD38C8">
        <w:rPr>
          <w:rFonts w:ascii="Comic Sans MS" w:hAnsi="Comic Sans MS"/>
        </w:rPr>
        <w:t xml:space="preserve">By asking for, </w:t>
      </w:r>
      <w:proofErr w:type="gramStart"/>
      <w:r w:rsidRPr="00CD38C8">
        <w:rPr>
          <w:rFonts w:ascii="Comic Sans MS" w:hAnsi="Comic Sans MS"/>
        </w:rPr>
        <w:t>including</w:t>
      </w:r>
      <w:proofErr w:type="gramEnd"/>
      <w:r w:rsidRPr="00CD38C8">
        <w:rPr>
          <w:rFonts w:ascii="Comic Sans MS" w:hAnsi="Comic Sans MS"/>
        </w:rPr>
        <w:t xml:space="preserve"> and valuing the contribution of our families so this enhances our understanding of equality, inclusion and diversity.</w:t>
      </w:r>
    </w:p>
    <w:p w14:paraId="6F06EE05" w14:textId="77777777" w:rsidR="00253CEB" w:rsidRPr="00253CEB" w:rsidRDefault="00253CEB" w:rsidP="00253CEB">
      <w:pPr>
        <w:tabs>
          <w:tab w:val="left" w:pos="4215"/>
        </w:tabs>
        <w:rPr>
          <w:rFonts w:ascii="Comic Sans MS" w:hAnsi="Comic Sans MS"/>
        </w:rPr>
      </w:pPr>
    </w:p>
    <w:p w14:paraId="6F06EE06" w14:textId="77777777" w:rsidR="00621905" w:rsidRPr="00CD38C8" w:rsidRDefault="00480397" w:rsidP="00CD38C8">
      <w:pPr>
        <w:tabs>
          <w:tab w:val="left" w:pos="4215"/>
        </w:tabs>
        <w:contextualSpacing/>
        <w:rPr>
          <w:rFonts w:ascii="Comic Sans MS" w:hAnsi="Comic Sans MS"/>
        </w:rPr>
      </w:pPr>
      <w:r>
        <w:rPr>
          <w:rFonts w:ascii="Comic Sans MS" w:hAnsi="Comic Sans MS"/>
          <w:b/>
        </w:rPr>
        <w:t>Early Learning Framework</w:t>
      </w:r>
      <w:r>
        <w:rPr>
          <w:rFonts w:ascii="Comic Sans MS" w:hAnsi="Comic Sans MS"/>
        </w:rPr>
        <w:t xml:space="preserve"> </w:t>
      </w:r>
      <w:r w:rsidR="00621905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="00621905">
        <w:rPr>
          <w:rFonts w:ascii="Comic Sans MS" w:hAnsi="Comic Sans MS"/>
        </w:rPr>
        <w:t xml:space="preserve">the </w:t>
      </w:r>
      <w:r w:rsidR="00CD38C8">
        <w:rPr>
          <w:rFonts w:ascii="Comic Sans MS" w:hAnsi="Comic Sans MS"/>
        </w:rPr>
        <w:t>Early Years Foundation Stage Statutory framework states that there should be:</w:t>
      </w:r>
    </w:p>
    <w:p w14:paraId="6F06EE07" w14:textId="77777777" w:rsidR="00CD38C8" w:rsidRDefault="00CD38C8" w:rsidP="00CD38C8">
      <w:pPr>
        <w:pStyle w:val="Default"/>
        <w:spacing w:after="160"/>
        <w:ind w:left="352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>‘</w:t>
      </w:r>
      <w:r w:rsidRPr="00275F92">
        <w:rPr>
          <w:bCs/>
          <w:i/>
          <w:sz w:val="23"/>
          <w:szCs w:val="23"/>
        </w:rPr>
        <w:t>Equality</w:t>
      </w:r>
      <w:r w:rsidR="00621905" w:rsidRPr="00275F92">
        <w:rPr>
          <w:bCs/>
          <w:i/>
          <w:sz w:val="23"/>
          <w:szCs w:val="23"/>
        </w:rPr>
        <w:t xml:space="preserve"> of opportunity</w:t>
      </w:r>
      <w:r w:rsidR="00621905" w:rsidRPr="00085A53">
        <w:rPr>
          <w:b/>
          <w:bCs/>
          <w:i/>
          <w:sz w:val="23"/>
          <w:szCs w:val="23"/>
        </w:rPr>
        <w:t xml:space="preserve"> </w:t>
      </w:r>
      <w:r w:rsidR="00621905" w:rsidRPr="00085A53">
        <w:rPr>
          <w:i/>
          <w:sz w:val="23"/>
          <w:szCs w:val="23"/>
        </w:rPr>
        <w:t>and anti-discriminatory practice, ensuring that every child is included and supported.</w:t>
      </w:r>
      <w:r w:rsidRPr="00085A53">
        <w:rPr>
          <w:i/>
          <w:sz w:val="23"/>
          <w:szCs w:val="23"/>
        </w:rPr>
        <w:t>’</w:t>
      </w:r>
    </w:p>
    <w:p w14:paraId="6F06EE08" w14:textId="77777777" w:rsidR="00621905" w:rsidRDefault="00275F92" w:rsidP="00CD38C8">
      <w:pPr>
        <w:pStyle w:val="Default"/>
        <w:spacing w:after="160"/>
        <w:contextualSpacing/>
        <w:rPr>
          <w:sz w:val="23"/>
          <w:szCs w:val="23"/>
        </w:rPr>
      </w:pPr>
      <w:r>
        <w:rPr>
          <w:rFonts w:ascii="Comic Sans MS" w:hAnsi="Comic Sans MS"/>
          <w:bCs/>
          <w:szCs w:val="23"/>
        </w:rPr>
        <w:lastRenderedPageBreak/>
        <w:t>In P</w:t>
      </w:r>
      <w:r w:rsidR="00CD38C8" w:rsidRPr="00CD38C8">
        <w:rPr>
          <w:rFonts w:ascii="Comic Sans MS" w:hAnsi="Comic Sans MS"/>
          <w:bCs/>
          <w:szCs w:val="23"/>
        </w:rPr>
        <w:t>laygroup we achieve this in the following ways:</w:t>
      </w:r>
      <w:r w:rsidR="00621905" w:rsidRPr="00CD38C8">
        <w:rPr>
          <w:sz w:val="23"/>
          <w:szCs w:val="23"/>
        </w:rPr>
        <w:t xml:space="preserve"> </w:t>
      </w:r>
    </w:p>
    <w:p w14:paraId="6F06EE09" w14:textId="77777777" w:rsidR="00CD38C8" w:rsidRDefault="00275F9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p</w:t>
      </w:r>
      <w:r w:rsidR="00CD38C8" w:rsidRPr="00CD38C8">
        <w:rPr>
          <w:rFonts w:ascii="Comic Sans MS" w:hAnsi="Comic Sans MS"/>
          <w:szCs w:val="23"/>
        </w:rPr>
        <w:t xml:space="preserve">roviding </w:t>
      </w:r>
      <w:r w:rsidR="00CD38C8">
        <w:rPr>
          <w:rFonts w:ascii="Comic Sans MS" w:hAnsi="Comic Sans MS"/>
          <w:szCs w:val="23"/>
        </w:rPr>
        <w:t>a secure environ</w:t>
      </w:r>
      <w:r w:rsidR="00CD38C8" w:rsidRPr="00CD38C8">
        <w:rPr>
          <w:rFonts w:ascii="Comic Sans MS" w:hAnsi="Comic Sans MS"/>
          <w:szCs w:val="23"/>
        </w:rPr>
        <w:t>ment</w:t>
      </w:r>
      <w:r>
        <w:rPr>
          <w:rFonts w:ascii="Comic Sans MS" w:hAnsi="Comic Sans MS"/>
          <w:szCs w:val="23"/>
        </w:rPr>
        <w:t xml:space="preserve"> where all</w:t>
      </w:r>
      <w:r w:rsidR="00CD38C8">
        <w:rPr>
          <w:rFonts w:ascii="Comic Sans MS" w:hAnsi="Comic Sans MS"/>
          <w:szCs w:val="23"/>
        </w:rPr>
        <w:t xml:space="preserve"> children feel good about themselves, can flourish and their contributions are valued.</w:t>
      </w:r>
    </w:p>
    <w:p w14:paraId="6F06EE0A" w14:textId="77777777" w:rsidR="00CD38C8" w:rsidRDefault="00275F9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e</w:t>
      </w:r>
      <w:r w:rsidR="00CD38C8">
        <w:rPr>
          <w:rFonts w:ascii="Comic Sans MS" w:hAnsi="Comic Sans MS"/>
          <w:szCs w:val="23"/>
        </w:rPr>
        <w:t xml:space="preserve">nsuring all children </w:t>
      </w:r>
      <w:r>
        <w:rPr>
          <w:rFonts w:ascii="Comic Sans MS" w:hAnsi="Comic Sans MS"/>
          <w:szCs w:val="23"/>
        </w:rPr>
        <w:t>have</w:t>
      </w:r>
      <w:r w:rsidR="00CD38C8">
        <w:rPr>
          <w:rFonts w:ascii="Comic Sans MS" w:hAnsi="Comic Sans MS"/>
          <w:szCs w:val="23"/>
        </w:rPr>
        <w:t xml:space="preserve"> equal access to learning and play </w:t>
      </w:r>
      <w:r w:rsidR="00085A53">
        <w:rPr>
          <w:rFonts w:ascii="Comic Sans MS" w:hAnsi="Comic Sans MS"/>
          <w:szCs w:val="23"/>
        </w:rPr>
        <w:t>opportunities</w:t>
      </w:r>
      <w:r w:rsidR="00CD38C8">
        <w:rPr>
          <w:rFonts w:ascii="Comic Sans MS" w:hAnsi="Comic Sans MS"/>
          <w:szCs w:val="23"/>
        </w:rPr>
        <w:t>.</w:t>
      </w:r>
    </w:p>
    <w:p w14:paraId="6F06EE0B" w14:textId="77777777" w:rsidR="00CD38C8" w:rsidRDefault="00275F9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m</w:t>
      </w:r>
      <w:r w:rsidR="00CD38C8">
        <w:rPr>
          <w:rFonts w:ascii="Comic Sans MS" w:hAnsi="Comic Sans MS"/>
          <w:szCs w:val="23"/>
        </w:rPr>
        <w:t>onitor</w:t>
      </w:r>
      <w:r>
        <w:rPr>
          <w:rFonts w:ascii="Comic Sans MS" w:hAnsi="Comic Sans MS"/>
          <w:szCs w:val="23"/>
        </w:rPr>
        <w:t>ing</w:t>
      </w:r>
      <w:r w:rsidR="00CD38C8">
        <w:rPr>
          <w:rFonts w:ascii="Comic Sans MS" w:hAnsi="Comic Sans MS"/>
          <w:szCs w:val="23"/>
        </w:rPr>
        <w:t xml:space="preserve"> play</w:t>
      </w:r>
      <w:r>
        <w:rPr>
          <w:rFonts w:ascii="Comic Sans MS" w:hAnsi="Comic Sans MS"/>
          <w:szCs w:val="23"/>
        </w:rPr>
        <w:t xml:space="preserve"> and challenging</w:t>
      </w:r>
      <w:r w:rsidR="00085A53">
        <w:rPr>
          <w:rFonts w:ascii="Comic Sans MS" w:hAnsi="Comic Sans MS"/>
          <w:szCs w:val="23"/>
        </w:rPr>
        <w:t xml:space="preserve"> any discriminatory</w:t>
      </w:r>
      <w:r w:rsidR="00CD38C8">
        <w:rPr>
          <w:rFonts w:ascii="Comic Sans MS" w:hAnsi="Comic Sans MS"/>
          <w:szCs w:val="23"/>
        </w:rPr>
        <w:t xml:space="preserve"> play or language.</w:t>
      </w:r>
    </w:p>
    <w:p w14:paraId="6F06EE0C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s</w:t>
      </w:r>
      <w:r w:rsidR="00CD38C8" w:rsidRPr="00085A53">
        <w:rPr>
          <w:rFonts w:ascii="Comic Sans MS" w:hAnsi="Comic Sans MS"/>
          <w:szCs w:val="23"/>
        </w:rPr>
        <w:t>taff are role models within play and learning</w:t>
      </w:r>
      <w:r w:rsidR="00085A53">
        <w:rPr>
          <w:rFonts w:ascii="Comic Sans MS" w:hAnsi="Comic Sans MS"/>
          <w:szCs w:val="23"/>
        </w:rPr>
        <w:t>, challenging any discrimi</w:t>
      </w:r>
      <w:r w:rsidR="00085A53" w:rsidRPr="00085A53">
        <w:rPr>
          <w:rFonts w:ascii="Comic Sans MS" w:hAnsi="Comic Sans MS"/>
          <w:szCs w:val="23"/>
        </w:rPr>
        <w:t>natory</w:t>
      </w:r>
      <w:r w:rsidR="00085A53">
        <w:rPr>
          <w:rFonts w:ascii="Comic Sans MS" w:hAnsi="Comic Sans MS"/>
          <w:szCs w:val="23"/>
        </w:rPr>
        <w:t xml:space="preserve"> ideas.</w:t>
      </w:r>
    </w:p>
    <w:p w14:paraId="6F06EE0D" w14:textId="77777777" w:rsidR="00085A53" w:rsidRDefault="00A029F2" w:rsidP="00085A53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s</w:t>
      </w:r>
      <w:r w:rsidR="00275F92">
        <w:rPr>
          <w:rFonts w:ascii="Comic Sans MS" w:hAnsi="Comic Sans MS"/>
          <w:szCs w:val="23"/>
        </w:rPr>
        <w:t>taff will develop empathy with</w:t>
      </w:r>
      <w:r w:rsidR="00CD38C8" w:rsidRPr="00085A53">
        <w:rPr>
          <w:rFonts w:ascii="Comic Sans MS" w:hAnsi="Comic Sans MS"/>
          <w:szCs w:val="23"/>
        </w:rPr>
        <w:t xml:space="preserve"> children by</w:t>
      </w:r>
      <w:r w:rsidR="00085A53" w:rsidRPr="00085A53">
        <w:rPr>
          <w:rFonts w:ascii="Comic Sans MS" w:hAnsi="Comic Sans MS"/>
          <w:szCs w:val="23"/>
        </w:rPr>
        <w:t xml:space="preserve"> </w:t>
      </w:r>
      <w:r w:rsidR="00085A53">
        <w:rPr>
          <w:rFonts w:ascii="Comic Sans MS" w:hAnsi="Comic Sans MS"/>
          <w:szCs w:val="23"/>
        </w:rPr>
        <w:t>using open ended questions to promote thoughts and discussion about inclusion and feelings.</w:t>
      </w:r>
    </w:p>
    <w:p w14:paraId="6F06EE0E" w14:textId="77777777" w:rsidR="00CD38C8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r</w:t>
      </w:r>
      <w:r w:rsidR="00085A53">
        <w:rPr>
          <w:rFonts w:ascii="Comic Sans MS" w:hAnsi="Comic Sans MS"/>
          <w:szCs w:val="23"/>
        </w:rPr>
        <w:t>eflecting</w:t>
      </w:r>
      <w:r w:rsidR="00057D5E">
        <w:rPr>
          <w:rFonts w:ascii="Comic Sans MS" w:hAnsi="Comic Sans MS"/>
          <w:szCs w:val="23"/>
        </w:rPr>
        <w:t xml:space="preserve"> </w:t>
      </w:r>
      <w:r w:rsidR="00085A53">
        <w:rPr>
          <w:rFonts w:ascii="Comic Sans MS" w:hAnsi="Comic Sans MS"/>
          <w:szCs w:val="23"/>
        </w:rPr>
        <w:t>the widest possible range of communities and cultures through the resources and activities we offer.</w:t>
      </w:r>
    </w:p>
    <w:p w14:paraId="6F06EE0F" w14:textId="77777777" w:rsidR="00085A53" w:rsidRDefault="00085A53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avoid</w:t>
      </w:r>
      <w:r w:rsidR="00A029F2">
        <w:rPr>
          <w:rFonts w:ascii="Comic Sans MS" w:hAnsi="Comic Sans MS"/>
          <w:szCs w:val="23"/>
        </w:rPr>
        <w:t>ing</w:t>
      </w:r>
      <w:r>
        <w:rPr>
          <w:rFonts w:ascii="Comic Sans MS" w:hAnsi="Comic Sans MS"/>
          <w:szCs w:val="23"/>
        </w:rPr>
        <w:t xml:space="preserve"> stereotypical and derogatory images and games.</w:t>
      </w:r>
    </w:p>
    <w:p w14:paraId="6F06EE10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e</w:t>
      </w:r>
      <w:r w:rsidR="00085A53">
        <w:rPr>
          <w:rFonts w:ascii="Comic Sans MS" w:hAnsi="Comic Sans MS"/>
          <w:szCs w:val="23"/>
        </w:rPr>
        <w:t>nsur</w:t>
      </w:r>
      <w:r>
        <w:rPr>
          <w:rFonts w:ascii="Comic Sans MS" w:hAnsi="Comic Sans MS"/>
          <w:szCs w:val="23"/>
        </w:rPr>
        <w:t>ing</w:t>
      </w:r>
      <w:r w:rsidR="00085A53">
        <w:rPr>
          <w:rFonts w:ascii="Comic Sans MS" w:hAnsi="Comic Sans MS"/>
          <w:szCs w:val="23"/>
        </w:rPr>
        <w:t xml:space="preserve"> all activities and learning experiences offered are inclusive to all the children, adapting </w:t>
      </w:r>
      <w:r>
        <w:rPr>
          <w:rFonts w:ascii="Comic Sans MS" w:hAnsi="Comic Sans MS"/>
          <w:szCs w:val="23"/>
        </w:rPr>
        <w:t xml:space="preserve">them </w:t>
      </w:r>
      <w:r w:rsidR="00085A53">
        <w:rPr>
          <w:rFonts w:ascii="Comic Sans MS" w:hAnsi="Comic Sans MS"/>
          <w:szCs w:val="23"/>
        </w:rPr>
        <w:t>as necessary in ensure access children with differing needs.</w:t>
      </w:r>
    </w:p>
    <w:p w14:paraId="6F06EE11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a</w:t>
      </w:r>
      <w:r w:rsidR="00085A53">
        <w:rPr>
          <w:rFonts w:ascii="Comic Sans MS" w:hAnsi="Comic Sans MS"/>
          <w:szCs w:val="23"/>
        </w:rPr>
        <w:t xml:space="preserve">iding children with English as an additional language to access the opportunities offered through support and ‘pec </w:t>
      </w:r>
      <w:proofErr w:type="gramStart"/>
      <w:r w:rsidR="00085A53">
        <w:rPr>
          <w:rFonts w:ascii="Comic Sans MS" w:hAnsi="Comic Sans MS"/>
          <w:szCs w:val="23"/>
        </w:rPr>
        <w:t>pics’</w:t>
      </w:r>
      <w:proofErr w:type="gramEnd"/>
      <w:r w:rsidR="00085A53">
        <w:rPr>
          <w:rFonts w:ascii="Comic Sans MS" w:hAnsi="Comic Sans MS"/>
          <w:szCs w:val="23"/>
        </w:rPr>
        <w:t>.</w:t>
      </w:r>
    </w:p>
    <w:p w14:paraId="6F06EE12" w14:textId="77777777" w:rsidR="00085A53" w:rsidRDefault="00085A53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sourcing support from outside service</w:t>
      </w:r>
      <w:r w:rsidR="00057D5E">
        <w:rPr>
          <w:rFonts w:ascii="Comic Sans MS" w:hAnsi="Comic Sans MS"/>
          <w:szCs w:val="23"/>
        </w:rPr>
        <w:t>s</w:t>
      </w:r>
      <w:r>
        <w:rPr>
          <w:rFonts w:ascii="Comic Sans MS" w:hAnsi="Comic Sans MS"/>
          <w:szCs w:val="23"/>
        </w:rPr>
        <w:t xml:space="preserve"> and agencies to enable us to include and support families and children.</w:t>
      </w:r>
    </w:p>
    <w:p w14:paraId="6F06EE13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ensuring</w:t>
      </w:r>
      <w:r w:rsidR="00085A53">
        <w:rPr>
          <w:rFonts w:ascii="Comic Sans MS" w:hAnsi="Comic Sans MS"/>
          <w:szCs w:val="23"/>
        </w:rPr>
        <w:t xml:space="preserve"> that children, whose abilities are more advanced than their peers, are supported as they continue to learn and develop at their higher level.</w:t>
      </w:r>
    </w:p>
    <w:p w14:paraId="6F06EE14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c</w:t>
      </w:r>
      <w:r w:rsidR="00085A53">
        <w:rPr>
          <w:rFonts w:ascii="Comic Sans MS" w:hAnsi="Comic Sans MS"/>
          <w:szCs w:val="23"/>
        </w:rPr>
        <w:t>elebration</w:t>
      </w:r>
      <w:r w:rsidR="00057D5E">
        <w:rPr>
          <w:rFonts w:ascii="Comic Sans MS" w:hAnsi="Comic Sans MS"/>
          <w:szCs w:val="23"/>
        </w:rPr>
        <w:t>s</w:t>
      </w:r>
      <w:r w:rsidR="00085A53">
        <w:rPr>
          <w:rFonts w:ascii="Comic Sans MS" w:hAnsi="Comic Sans MS"/>
          <w:szCs w:val="23"/>
        </w:rPr>
        <w:t xml:space="preserve"> of many different cultural festivals.</w:t>
      </w:r>
    </w:p>
    <w:p w14:paraId="6F06EE15" w14:textId="77777777" w:rsidR="00085A53" w:rsidRDefault="00A029F2" w:rsidP="00CD38C8">
      <w:pPr>
        <w:pStyle w:val="Default"/>
        <w:numPr>
          <w:ilvl w:val="0"/>
          <w:numId w:val="5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having</w:t>
      </w:r>
      <w:r w:rsidR="00085A53">
        <w:rPr>
          <w:rFonts w:ascii="Comic Sans MS" w:hAnsi="Comic Sans MS"/>
          <w:szCs w:val="23"/>
        </w:rPr>
        <w:t xml:space="preserve"> a member of staff trained within Special Educational Needs and Disabilities to support families for who this is relevant.</w:t>
      </w:r>
    </w:p>
    <w:p w14:paraId="6F06EE16" w14:textId="77777777" w:rsidR="00253CEB" w:rsidRDefault="00253CEB" w:rsidP="00253CEB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p w14:paraId="6F06EE17" w14:textId="77777777" w:rsidR="0077090C" w:rsidRDefault="00085A53" w:rsidP="00085A53">
      <w:pPr>
        <w:pStyle w:val="Default"/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b/>
          <w:szCs w:val="23"/>
        </w:rPr>
        <w:t>Monitoring –</w:t>
      </w:r>
      <w:r>
        <w:rPr>
          <w:rFonts w:ascii="Comic Sans MS" w:hAnsi="Comic Sans MS"/>
          <w:szCs w:val="23"/>
        </w:rPr>
        <w:t xml:space="preserve"> as part of our rolling policy review, this policy along with all policies will be reviewed to ensure our practice meets The Equality Act 2010. </w:t>
      </w:r>
    </w:p>
    <w:p w14:paraId="6F06EE18" w14:textId="77777777" w:rsidR="0077090C" w:rsidRDefault="00085A53" w:rsidP="0077090C">
      <w:pPr>
        <w:pStyle w:val="Default"/>
        <w:numPr>
          <w:ilvl w:val="0"/>
          <w:numId w:val="10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We will record any</w:t>
      </w:r>
      <w:r w:rsidR="00433C9F">
        <w:rPr>
          <w:rFonts w:ascii="Comic Sans MS" w:hAnsi="Comic Sans MS"/>
          <w:szCs w:val="23"/>
        </w:rPr>
        <w:t xml:space="preserve"> incidents of</w:t>
      </w:r>
      <w:r>
        <w:rPr>
          <w:rFonts w:ascii="Comic Sans MS" w:hAnsi="Comic Sans MS"/>
          <w:szCs w:val="23"/>
        </w:rPr>
        <w:t xml:space="preserve"> </w:t>
      </w:r>
      <w:r w:rsidR="00433C9F">
        <w:rPr>
          <w:rFonts w:ascii="Comic Sans MS" w:hAnsi="Comic Sans MS"/>
          <w:szCs w:val="23"/>
        </w:rPr>
        <w:t>discrimination in se</w:t>
      </w:r>
      <w:r w:rsidR="0077090C">
        <w:rPr>
          <w:rFonts w:ascii="Comic Sans MS" w:hAnsi="Comic Sans MS"/>
          <w:szCs w:val="23"/>
        </w:rPr>
        <w:t>tting</w:t>
      </w:r>
      <w:r w:rsidR="00433C9F">
        <w:rPr>
          <w:rFonts w:ascii="Comic Sans MS" w:hAnsi="Comic Sans MS"/>
          <w:szCs w:val="23"/>
        </w:rPr>
        <w:t xml:space="preserve"> and how it was dealt with in a designated book</w:t>
      </w:r>
      <w:r w:rsidR="0077090C">
        <w:rPr>
          <w:rFonts w:ascii="Comic Sans MS" w:hAnsi="Comic Sans MS"/>
          <w:szCs w:val="23"/>
        </w:rPr>
        <w:t xml:space="preserve">. This </w:t>
      </w:r>
      <w:r w:rsidR="00A029F2">
        <w:rPr>
          <w:rFonts w:ascii="Comic Sans MS" w:hAnsi="Comic Sans MS"/>
          <w:szCs w:val="23"/>
        </w:rPr>
        <w:t>will be</w:t>
      </w:r>
      <w:r w:rsidR="0077090C">
        <w:rPr>
          <w:rFonts w:ascii="Comic Sans MS" w:hAnsi="Comic Sans MS"/>
          <w:szCs w:val="23"/>
        </w:rPr>
        <w:t xml:space="preserve"> reviewed to look f</w:t>
      </w:r>
      <w:r w:rsidR="00A029F2">
        <w:rPr>
          <w:rFonts w:ascii="Comic Sans MS" w:hAnsi="Comic Sans MS"/>
          <w:szCs w:val="23"/>
        </w:rPr>
        <w:t>or any patterns occurring or rec</w:t>
      </w:r>
      <w:r w:rsidR="0077090C">
        <w:rPr>
          <w:rFonts w:ascii="Comic Sans MS" w:hAnsi="Comic Sans MS"/>
          <w:szCs w:val="23"/>
        </w:rPr>
        <w:t xml:space="preserve">urring issues. </w:t>
      </w:r>
    </w:p>
    <w:p w14:paraId="6F06EE19" w14:textId="77777777" w:rsidR="0077090C" w:rsidRDefault="00A029F2" w:rsidP="0077090C">
      <w:pPr>
        <w:pStyle w:val="Default"/>
        <w:numPr>
          <w:ilvl w:val="0"/>
          <w:numId w:val="10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We</w:t>
      </w:r>
      <w:r w:rsidR="0077090C">
        <w:rPr>
          <w:rFonts w:ascii="Comic Sans MS" w:hAnsi="Comic Sans MS"/>
          <w:szCs w:val="23"/>
        </w:rPr>
        <w:t xml:space="preserve"> have a complaints procedure available for parent to use if they wish to complain about an incident of discrimination (or any other concern they may have). These complaints will be dea</w:t>
      </w:r>
      <w:r>
        <w:rPr>
          <w:rFonts w:ascii="Comic Sans MS" w:hAnsi="Comic Sans MS"/>
          <w:szCs w:val="23"/>
        </w:rPr>
        <w:t>lt with in accordance with our Complaints P</w:t>
      </w:r>
      <w:r w:rsidR="0077090C">
        <w:rPr>
          <w:rFonts w:ascii="Comic Sans MS" w:hAnsi="Comic Sans MS"/>
          <w:szCs w:val="23"/>
        </w:rPr>
        <w:t xml:space="preserve">olicy. </w:t>
      </w:r>
    </w:p>
    <w:p w14:paraId="6F06EE1A" w14:textId="77777777" w:rsidR="00085A53" w:rsidRDefault="0077090C" w:rsidP="0077090C">
      <w:pPr>
        <w:pStyle w:val="Default"/>
        <w:numPr>
          <w:ilvl w:val="0"/>
          <w:numId w:val="10"/>
        </w:numPr>
        <w:spacing w:after="160"/>
        <w:contextualSpacing/>
        <w:rPr>
          <w:rFonts w:ascii="Comic Sans MS" w:hAnsi="Comic Sans MS"/>
          <w:szCs w:val="23"/>
        </w:rPr>
      </w:pPr>
      <w:r>
        <w:rPr>
          <w:rFonts w:ascii="Comic Sans MS" w:hAnsi="Comic Sans MS"/>
          <w:szCs w:val="23"/>
        </w:rPr>
        <w:t>Equality is part of the agenda for staff meetings</w:t>
      </w:r>
      <w:r w:rsidR="00A029F2">
        <w:rPr>
          <w:rFonts w:ascii="Comic Sans MS" w:hAnsi="Comic Sans MS"/>
          <w:szCs w:val="23"/>
        </w:rPr>
        <w:t>,</w:t>
      </w:r>
      <w:r>
        <w:rPr>
          <w:rFonts w:ascii="Comic Sans MS" w:hAnsi="Comic Sans MS"/>
          <w:szCs w:val="23"/>
        </w:rPr>
        <w:t xml:space="preserve"> ensuring it regularly considered by staff within relation to their role and planning for the setting.</w:t>
      </w:r>
    </w:p>
    <w:p w14:paraId="6F06EE1B" w14:textId="77777777" w:rsidR="00253CEB" w:rsidRDefault="00253CEB" w:rsidP="00253CEB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p w14:paraId="6F06EE1C" w14:textId="1083D675" w:rsidR="00CD38C8" w:rsidRDefault="0077090C" w:rsidP="00CD38C8">
      <w:pPr>
        <w:pStyle w:val="Default"/>
        <w:spacing w:after="160"/>
        <w:contextualSpacing/>
        <w:rPr>
          <w:rFonts w:ascii="Comic Sans MS" w:hAnsi="Comic Sans MS"/>
          <w:szCs w:val="23"/>
        </w:rPr>
      </w:pPr>
      <w:r w:rsidRPr="0077090C">
        <w:rPr>
          <w:rFonts w:ascii="Comic Sans MS" w:hAnsi="Comic Sans MS"/>
          <w:b/>
          <w:szCs w:val="23"/>
        </w:rPr>
        <w:t>Setting</w:t>
      </w:r>
      <w:r w:rsidR="00433C9F">
        <w:rPr>
          <w:rFonts w:ascii="Comic Sans MS" w:hAnsi="Comic Sans MS"/>
          <w:b/>
          <w:szCs w:val="23"/>
        </w:rPr>
        <w:t>’</w:t>
      </w:r>
      <w:r w:rsidRPr="0077090C">
        <w:rPr>
          <w:rFonts w:ascii="Comic Sans MS" w:hAnsi="Comic Sans MS"/>
          <w:b/>
          <w:szCs w:val="23"/>
        </w:rPr>
        <w:t xml:space="preserve">s ENCO </w:t>
      </w:r>
      <w:r w:rsidR="00433C9F">
        <w:rPr>
          <w:rFonts w:ascii="Comic Sans MS" w:hAnsi="Comic Sans MS"/>
          <w:szCs w:val="23"/>
        </w:rPr>
        <w:t>– Hingham Playgroup’s</w:t>
      </w:r>
      <w:r>
        <w:rPr>
          <w:rFonts w:ascii="Comic Sans MS" w:hAnsi="Comic Sans MS"/>
          <w:szCs w:val="23"/>
        </w:rPr>
        <w:t xml:space="preserve"> Equa</w:t>
      </w:r>
      <w:r w:rsidR="00433C9F">
        <w:rPr>
          <w:rFonts w:ascii="Comic Sans MS" w:hAnsi="Comic Sans MS"/>
          <w:szCs w:val="23"/>
        </w:rPr>
        <w:t>lity Named Co-Ordinator (ENCO) is</w:t>
      </w:r>
      <w:r>
        <w:rPr>
          <w:rFonts w:ascii="Comic Sans MS" w:hAnsi="Comic Sans MS"/>
          <w:szCs w:val="23"/>
        </w:rPr>
        <w:t xml:space="preserve"> Nicola Hindle. Her role is to work collaboratively with all staff, families and committe</w:t>
      </w:r>
      <w:r w:rsidR="00433C9F">
        <w:rPr>
          <w:rFonts w:ascii="Comic Sans MS" w:hAnsi="Comic Sans MS"/>
          <w:szCs w:val="23"/>
        </w:rPr>
        <w:t>e to co-ordinate and monitor</w:t>
      </w:r>
      <w:r>
        <w:rPr>
          <w:rFonts w:ascii="Comic Sans MS" w:hAnsi="Comic Sans MS"/>
          <w:szCs w:val="23"/>
        </w:rPr>
        <w:t xml:space="preserve"> equality requirements of all children aged 2-5 years, families and setting, proactively </w:t>
      </w:r>
      <w:proofErr w:type="gramStart"/>
      <w:r>
        <w:rPr>
          <w:rFonts w:ascii="Comic Sans MS" w:hAnsi="Comic Sans MS"/>
          <w:szCs w:val="23"/>
        </w:rPr>
        <w:t>enhancing</w:t>
      </w:r>
      <w:proofErr w:type="gramEnd"/>
      <w:r>
        <w:rPr>
          <w:rFonts w:ascii="Comic Sans MS" w:hAnsi="Comic Sans MS"/>
          <w:szCs w:val="23"/>
        </w:rPr>
        <w:t xml:space="preserve"> and </w:t>
      </w:r>
      <w:r w:rsidR="00433C9F">
        <w:rPr>
          <w:rFonts w:ascii="Comic Sans MS" w:hAnsi="Comic Sans MS"/>
          <w:szCs w:val="23"/>
        </w:rPr>
        <w:t>promoting inclusive practice and</w:t>
      </w:r>
      <w:r>
        <w:rPr>
          <w:rFonts w:ascii="Comic Sans MS" w:hAnsi="Comic Sans MS"/>
          <w:szCs w:val="23"/>
        </w:rPr>
        <w:t xml:space="preserve"> removing barriers to inclusion.</w:t>
      </w:r>
    </w:p>
    <w:p w14:paraId="2CC6EFF1" w14:textId="5C399792" w:rsidR="002B33CD" w:rsidRDefault="002B33CD" w:rsidP="00CD38C8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p w14:paraId="2878950E" w14:textId="54604897" w:rsidR="002B33CD" w:rsidRDefault="002B33CD" w:rsidP="00CD38C8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p w14:paraId="0CCDADCA" w14:textId="4DCBE2F3" w:rsidR="002B33CD" w:rsidRDefault="002B33CD" w:rsidP="00CD38C8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p w14:paraId="21CE751F" w14:textId="77777777" w:rsidR="002B33CD" w:rsidRPr="00CD38C8" w:rsidRDefault="002B33CD" w:rsidP="00CD38C8">
      <w:pPr>
        <w:pStyle w:val="Default"/>
        <w:spacing w:after="160"/>
        <w:contextualSpacing/>
        <w:rPr>
          <w:rFonts w:ascii="Comic Sans MS" w:hAnsi="Comic Sans MS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06"/>
      </w:tblGrid>
      <w:tr w:rsidR="0077090C" w:rsidRPr="0077090C" w14:paraId="6F06EE1F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1D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lastRenderedPageBreak/>
              <w:t>Last review date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1E" w14:textId="457AA00E" w:rsidR="0077090C" w:rsidRPr="002B33CD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2B33CD">
              <w:rPr>
                <w:rFonts w:ascii="Comic Sans MS" w:hAnsi="Comic Sans MS" w:cs="Arial"/>
                <w:lang w:val="en-US" w:eastAsia="en-US"/>
              </w:rPr>
              <w:t xml:space="preserve"> </w:t>
            </w:r>
            <w:r w:rsidR="00FC6663">
              <w:rPr>
                <w:rFonts w:ascii="Comic Sans MS" w:hAnsi="Comic Sans MS" w:cs="Arial"/>
                <w:lang w:val="en-US" w:eastAsia="en-US"/>
              </w:rPr>
              <w:t>July 2020</w:t>
            </w:r>
          </w:p>
        </w:tc>
      </w:tr>
      <w:tr w:rsidR="0077090C" w:rsidRPr="0077090C" w14:paraId="6F06EE24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20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t>Reviewed/agreed by staff team / date</w:t>
            </w:r>
          </w:p>
          <w:p w14:paraId="6F06EE21" w14:textId="77777777" w:rsidR="00057D5E" w:rsidRDefault="00057D5E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  <w:p w14:paraId="6F06EE22" w14:textId="77777777" w:rsidR="00057D5E" w:rsidRPr="0077090C" w:rsidRDefault="00057D5E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6DD" w14:textId="1E536FDD" w:rsidR="002B33CD" w:rsidRDefault="00FC6663" w:rsidP="0077090C">
            <w:pPr>
              <w:rPr>
                <w:rFonts w:ascii="Comic Sans MS" w:hAnsi="Comic Sans MS" w:cs="Arial"/>
                <w:lang w:val="en-US" w:eastAsia="en-US"/>
              </w:rPr>
            </w:pPr>
            <w:r>
              <w:rPr>
                <w:rFonts w:ascii="Comic Sans MS" w:hAnsi="Comic Sans MS" w:cs="Arial"/>
                <w:lang w:val="en-US" w:eastAsia="en-US"/>
              </w:rPr>
              <w:t xml:space="preserve"> </w:t>
            </w:r>
          </w:p>
          <w:p w14:paraId="28C8B758" w14:textId="77777777" w:rsidR="002B33CD" w:rsidRDefault="002B33CD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  <w:p w14:paraId="23F7EB46" w14:textId="77777777" w:rsidR="002B33CD" w:rsidRDefault="002B33CD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  <w:p w14:paraId="55C30241" w14:textId="77777777" w:rsidR="002B33CD" w:rsidRDefault="002B33CD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  <w:p w14:paraId="6F06EE23" w14:textId="78B869E2" w:rsidR="0077090C" w:rsidRPr="002B33CD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</w:p>
        </w:tc>
      </w:tr>
      <w:tr w:rsidR="0077090C" w:rsidRPr="0077090C" w14:paraId="6F06EE27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5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t>Reviewed/agreed by committee/date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6" w14:textId="77777777" w:rsidR="0077090C" w:rsidRPr="0077090C" w:rsidRDefault="0077090C" w:rsidP="0077090C">
            <w:pPr>
              <w:rPr>
                <w:rFonts w:ascii="Comic Sans MS" w:hAnsi="Comic Sans MS" w:cs="Arial"/>
                <w:sz w:val="28"/>
                <w:lang w:val="en-US" w:eastAsia="en-US"/>
              </w:rPr>
            </w:pPr>
            <w:r>
              <w:rPr>
                <w:rFonts w:ascii="Comic Sans MS" w:hAnsi="Comic Sans MS" w:cs="Arial"/>
                <w:sz w:val="28"/>
                <w:lang w:val="en-US" w:eastAsia="en-US"/>
              </w:rPr>
              <w:t xml:space="preserve"> </w:t>
            </w:r>
          </w:p>
        </w:tc>
      </w:tr>
      <w:tr w:rsidR="0077090C" w:rsidRPr="0077090C" w14:paraId="6F06EE2A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8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t>Signed on behalf of committee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29" w14:textId="77777777" w:rsidR="0077090C" w:rsidRPr="0077090C" w:rsidRDefault="0077090C" w:rsidP="0077090C">
            <w:pPr>
              <w:rPr>
                <w:rFonts w:ascii="Comic Sans MS" w:hAnsi="Comic Sans MS" w:cs="Arial"/>
                <w:b/>
                <w:lang w:val="en-US" w:eastAsia="en-US"/>
              </w:rPr>
            </w:pPr>
          </w:p>
        </w:tc>
      </w:tr>
      <w:tr w:rsidR="0077090C" w:rsidRPr="0077090C" w14:paraId="6F06EE2D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B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t>Print name/date/role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2C" w14:textId="77777777" w:rsidR="0077090C" w:rsidRPr="0077090C" w:rsidRDefault="0077090C" w:rsidP="0077090C">
            <w:pPr>
              <w:rPr>
                <w:rFonts w:ascii="Comic Sans MS" w:hAnsi="Comic Sans MS" w:cs="Arial"/>
                <w:b/>
                <w:lang w:val="en-US" w:eastAsia="en-US"/>
              </w:rPr>
            </w:pPr>
          </w:p>
        </w:tc>
      </w:tr>
      <w:tr w:rsidR="0077090C" w:rsidRPr="0077090C" w14:paraId="6F06EE30" w14:textId="77777777" w:rsidTr="00FA78E5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E" w14:textId="77777777" w:rsidR="0077090C" w:rsidRPr="0077090C" w:rsidRDefault="0077090C" w:rsidP="0077090C">
            <w:pPr>
              <w:rPr>
                <w:rFonts w:ascii="Comic Sans MS" w:hAnsi="Comic Sans MS" w:cs="Arial"/>
                <w:lang w:val="en-US" w:eastAsia="en-US"/>
              </w:rPr>
            </w:pPr>
            <w:r w:rsidRPr="0077090C">
              <w:rPr>
                <w:rFonts w:ascii="Comic Sans MS" w:hAnsi="Comic Sans MS" w:cs="Arial"/>
                <w:lang w:val="en-US" w:eastAsia="en-US"/>
              </w:rPr>
              <w:t>Date of next review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E2F" w14:textId="2F01AF03" w:rsidR="0077090C" w:rsidRPr="002B33CD" w:rsidRDefault="00FC6663" w:rsidP="0077090C">
            <w:pPr>
              <w:rPr>
                <w:rFonts w:ascii="Comic Sans MS" w:hAnsi="Comic Sans MS" w:cs="Arial"/>
                <w:lang w:val="en-US" w:eastAsia="en-US"/>
              </w:rPr>
            </w:pPr>
            <w:r>
              <w:rPr>
                <w:rFonts w:ascii="Comic Sans MS" w:hAnsi="Comic Sans MS" w:cs="Arial"/>
                <w:lang w:val="en-US" w:eastAsia="en-US"/>
              </w:rPr>
              <w:t>July 2021</w:t>
            </w:r>
          </w:p>
        </w:tc>
      </w:tr>
    </w:tbl>
    <w:p w14:paraId="6F06EE31" w14:textId="77777777" w:rsidR="0077090C" w:rsidRDefault="0077090C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6F06EE32" w14:textId="65DB9646" w:rsidR="00253CEB" w:rsidRDefault="00253CEB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3420F7E3" w14:textId="02676E05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54F45C54" w14:textId="545286D4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D0B53F8" w14:textId="12523D2F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801FC74" w14:textId="7365E07D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2661FDDE" w14:textId="2879D39C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64B7DA9E" w14:textId="5B46CE50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4665BCC9" w14:textId="119E5EF7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03ADDC16" w14:textId="58120093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45ACF852" w14:textId="798C732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1C2AFDB6" w14:textId="720359B3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05951547" w14:textId="24C9FBA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3C87196" w14:textId="7131D0A4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1F1E1D30" w14:textId="49CDA0E8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0A2D100" w14:textId="2ED4413B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1FD74356" w14:textId="10ECE036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6A623AFA" w14:textId="13CE84B4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4C5B638" w14:textId="22DAEB68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4385C70D" w14:textId="17A4F3ED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2E2E8B63" w14:textId="7F45AB73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2ECF6146" w14:textId="2D43A93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17BFD098" w14:textId="015B924B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31080896" w14:textId="544D3F76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32887C57" w14:textId="0A13FF6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3C3A4858" w14:textId="52A1C00C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22517603" w14:textId="50D34E9F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557C0ED7" w14:textId="2CB703FD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0420D7AF" w14:textId="5FB3345B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8EC6578" w14:textId="6E04CD3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49421418" w14:textId="0AB8E28F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71D843BD" w14:textId="3A0927B9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0C45B283" w14:textId="522131BA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5E7D9698" w14:textId="51222876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26770552" w14:textId="53AE9B86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6C91538C" w14:textId="2607F535" w:rsidR="002B33CD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1A56AE80" w14:textId="77777777" w:rsidR="002B33CD" w:rsidRPr="00057D5E" w:rsidRDefault="002B33CD" w:rsidP="00480397">
      <w:pPr>
        <w:tabs>
          <w:tab w:val="left" w:pos="4215"/>
        </w:tabs>
        <w:rPr>
          <w:rFonts w:ascii="Comic Sans MS" w:hAnsi="Comic Sans MS"/>
          <w:sz w:val="20"/>
        </w:rPr>
      </w:pPr>
    </w:p>
    <w:p w14:paraId="6F06EE33" w14:textId="77777777" w:rsidR="0077090C" w:rsidRPr="0077090C" w:rsidRDefault="0077090C" w:rsidP="0077090C">
      <w:pPr>
        <w:tabs>
          <w:tab w:val="center" w:pos="4320"/>
          <w:tab w:val="right" w:pos="8640"/>
        </w:tabs>
        <w:jc w:val="center"/>
        <w:rPr>
          <w:rFonts w:ascii="Comic Sans MS" w:hAnsi="Comic Sans MS"/>
          <w:szCs w:val="28"/>
        </w:rPr>
      </w:pPr>
      <w:r w:rsidRPr="0077090C">
        <w:rPr>
          <w:rFonts w:ascii="Comic Sans MS" w:hAnsi="Comic Sans MS"/>
          <w:szCs w:val="28"/>
        </w:rPr>
        <w:t>20 Hardingham Street, Hingham, Norfolk, NR9 4JB</w:t>
      </w:r>
    </w:p>
    <w:p w14:paraId="6F06EE35" w14:textId="4890AD6A" w:rsidR="0077090C" w:rsidRPr="0094650A" w:rsidRDefault="0077090C" w:rsidP="0094650A">
      <w:pPr>
        <w:tabs>
          <w:tab w:val="center" w:pos="4320"/>
          <w:tab w:val="right" w:pos="8640"/>
        </w:tabs>
        <w:jc w:val="center"/>
        <w:rPr>
          <w:rFonts w:ascii="Comic Sans MS" w:hAnsi="Comic Sans MS"/>
          <w:szCs w:val="28"/>
        </w:rPr>
      </w:pPr>
      <w:r w:rsidRPr="0077090C">
        <w:rPr>
          <w:rFonts w:ascii="Comic Sans MS" w:hAnsi="Comic Sans MS"/>
          <w:szCs w:val="28"/>
        </w:rPr>
        <w:t>Tel: 01953 850820, Registered Charity Number- 1027819</w:t>
      </w:r>
    </w:p>
    <w:sectPr w:rsidR="0077090C" w:rsidRPr="0094650A" w:rsidSect="00085A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6EE3C" w14:textId="77777777" w:rsidR="003D7F1B" w:rsidRDefault="003D7F1B" w:rsidP="0077090C">
      <w:r>
        <w:separator/>
      </w:r>
    </w:p>
  </w:endnote>
  <w:endnote w:type="continuationSeparator" w:id="0">
    <w:p w14:paraId="6F06EE3D" w14:textId="77777777" w:rsidR="003D7F1B" w:rsidRDefault="003D7F1B" w:rsidP="007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EE40" w14:textId="77777777" w:rsidR="00257F24" w:rsidRDefault="00257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799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06EE41" w14:textId="721EED55" w:rsidR="0077090C" w:rsidRDefault="00770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33C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253CEB">
              <w:rPr>
                <w:b/>
                <w:bCs/>
              </w:rPr>
              <w:t>4</w:t>
            </w:r>
          </w:p>
        </w:sdtContent>
      </w:sdt>
    </w:sdtContent>
  </w:sdt>
  <w:p w14:paraId="6F06EE42" w14:textId="77777777" w:rsidR="0077090C" w:rsidRDefault="007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EE44" w14:textId="77777777" w:rsidR="00257F24" w:rsidRDefault="00257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6EE3A" w14:textId="77777777" w:rsidR="003D7F1B" w:rsidRDefault="003D7F1B" w:rsidP="0077090C">
      <w:r>
        <w:separator/>
      </w:r>
    </w:p>
  </w:footnote>
  <w:footnote w:type="continuationSeparator" w:id="0">
    <w:p w14:paraId="6F06EE3B" w14:textId="77777777" w:rsidR="003D7F1B" w:rsidRDefault="003D7F1B" w:rsidP="007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EE3E" w14:textId="77777777" w:rsidR="00257F24" w:rsidRDefault="00257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EE3F" w14:textId="77777777" w:rsidR="00257F24" w:rsidRDefault="00257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EE43" w14:textId="77777777" w:rsidR="00257F24" w:rsidRDefault="0025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A5CD9"/>
    <w:multiLevelType w:val="hybridMultilevel"/>
    <w:tmpl w:val="63CE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339C5"/>
    <w:multiLevelType w:val="hybridMultilevel"/>
    <w:tmpl w:val="1A84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043F"/>
    <w:multiLevelType w:val="hybridMultilevel"/>
    <w:tmpl w:val="1FD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4BD2"/>
    <w:multiLevelType w:val="hybridMultilevel"/>
    <w:tmpl w:val="F334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0612"/>
    <w:multiLevelType w:val="hybridMultilevel"/>
    <w:tmpl w:val="2BAA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85292"/>
    <w:multiLevelType w:val="hybridMultilevel"/>
    <w:tmpl w:val="C938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174C"/>
    <w:multiLevelType w:val="hybridMultilevel"/>
    <w:tmpl w:val="17E2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6A3D"/>
    <w:multiLevelType w:val="hybridMultilevel"/>
    <w:tmpl w:val="EA84607E"/>
    <w:lvl w:ilvl="0" w:tplc="7A06B9D6">
      <w:numFmt w:val="bullet"/>
      <w:lvlText w:val="-"/>
      <w:lvlJc w:val="left"/>
      <w:pPr>
        <w:ind w:left="1650" w:hanging="360"/>
      </w:pPr>
      <w:rPr>
        <w:rFonts w:ascii="Comic Sans MS" w:eastAsia="SimSun" w:hAnsi="Comic Sans M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20FE4"/>
    <w:multiLevelType w:val="hybridMultilevel"/>
    <w:tmpl w:val="8AF6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04A1"/>
    <w:multiLevelType w:val="hybridMultilevel"/>
    <w:tmpl w:val="A10A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11B8"/>
    <w:multiLevelType w:val="hybridMultilevel"/>
    <w:tmpl w:val="EEF4A204"/>
    <w:lvl w:ilvl="0" w:tplc="7A06B9D6">
      <w:numFmt w:val="bullet"/>
      <w:lvlText w:val="-"/>
      <w:lvlJc w:val="left"/>
      <w:pPr>
        <w:ind w:left="1650" w:hanging="360"/>
      </w:pPr>
      <w:rPr>
        <w:rFonts w:ascii="Comic Sans MS" w:eastAsia="SimSun" w:hAnsi="Comic Sans M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747D24DE"/>
    <w:multiLevelType w:val="hybridMultilevel"/>
    <w:tmpl w:val="003E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1ACE"/>
    <w:multiLevelType w:val="hybridMultilevel"/>
    <w:tmpl w:val="11684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F6"/>
    <w:rsid w:val="00057D5E"/>
    <w:rsid w:val="0006777B"/>
    <w:rsid w:val="00085A53"/>
    <w:rsid w:val="00123CC4"/>
    <w:rsid w:val="001527FE"/>
    <w:rsid w:val="00180C84"/>
    <w:rsid w:val="00253CEB"/>
    <w:rsid w:val="00257F24"/>
    <w:rsid w:val="00275F92"/>
    <w:rsid w:val="002B33CD"/>
    <w:rsid w:val="00341269"/>
    <w:rsid w:val="003D7F1B"/>
    <w:rsid w:val="00433C9F"/>
    <w:rsid w:val="00455C98"/>
    <w:rsid w:val="00480397"/>
    <w:rsid w:val="005D3DC9"/>
    <w:rsid w:val="00621905"/>
    <w:rsid w:val="0077090C"/>
    <w:rsid w:val="007D4AAE"/>
    <w:rsid w:val="0080471A"/>
    <w:rsid w:val="0080796E"/>
    <w:rsid w:val="00842EAC"/>
    <w:rsid w:val="008A3711"/>
    <w:rsid w:val="008C64F6"/>
    <w:rsid w:val="00927F8F"/>
    <w:rsid w:val="0094650A"/>
    <w:rsid w:val="009B5C98"/>
    <w:rsid w:val="00A029F2"/>
    <w:rsid w:val="00BE31AF"/>
    <w:rsid w:val="00CD38C8"/>
    <w:rsid w:val="00DA5D52"/>
    <w:rsid w:val="00E75B26"/>
    <w:rsid w:val="00EC238A"/>
    <w:rsid w:val="00FC6663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EDD6"/>
  <w15:docId w15:val="{D0EE6866-1F07-4019-9A1F-D7BAD8BE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23CC4"/>
    <w:pPr>
      <w:keepNext/>
      <w:outlineLvl w:val="0"/>
    </w:pPr>
    <w:rPr>
      <w:rFonts w:ascii="Comic Sans MS" w:eastAsia="Times New Roman" w:hAnsi="Comic Sans MS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CC4"/>
    <w:rPr>
      <w:rFonts w:ascii="Comic Sans MS" w:eastAsia="Times New Roman" w:hAnsi="Comic Sans MS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23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AA0"/>
    <w:rPr>
      <w:color w:val="0000FF" w:themeColor="hyperlink"/>
      <w:u w:val="single"/>
    </w:rPr>
  </w:style>
  <w:style w:type="paragraph" w:customStyle="1" w:styleId="Default">
    <w:name w:val="Default"/>
    <w:rsid w:val="00621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0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0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0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90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A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playgroup</dc:creator>
  <cp:keywords/>
  <dc:description/>
  <cp:lastModifiedBy>Nicola Hindle</cp:lastModifiedBy>
  <cp:revision>9</cp:revision>
  <cp:lastPrinted>2016-06-22T13:20:00Z</cp:lastPrinted>
  <dcterms:created xsi:type="dcterms:W3CDTF">2014-09-11T10:52:00Z</dcterms:created>
  <dcterms:modified xsi:type="dcterms:W3CDTF">2020-07-16T10:13:00Z</dcterms:modified>
</cp:coreProperties>
</file>